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50ED6" w:rsidRPr="00D11193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ED6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>Doctorando/a:</w:t>
            </w:r>
          </w:p>
        </w:tc>
      </w:tr>
      <w:tr w:rsidR="00150ED6" w:rsidRPr="00D11193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D6" w:rsidRPr="00D378C6" w:rsidRDefault="00150ED6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0ED6" w:rsidRPr="00D11193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ED6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46291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ficial de Doctorado:</w:t>
            </w:r>
          </w:p>
        </w:tc>
      </w:tr>
      <w:tr w:rsidR="00150ED6" w:rsidRPr="00D11193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D6" w:rsidRPr="00D378C6" w:rsidRDefault="00150ED6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0ED6" w:rsidRPr="00D11193" w:rsidTr="00997EE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ED6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 xml:space="preserve">Línea de </w:t>
            </w:r>
            <w:r w:rsidR="0046291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nvestigación:</w:t>
            </w:r>
          </w:p>
        </w:tc>
      </w:tr>
      <w:tr w:rsidR="00150ED6" w:rsidRPr="00D11193" w:rsidTr="00997EE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D6" w:rsidRPr="00D378C6" w:rsidRDefault="00150ED6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0ED6" w:rsidRPr="00D11193" w:rsidTr="00997EEE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D1A" w:rsidRPr="00D378C6" w:rsidRDefault="00F92D1A" w:rsidP="00150ED6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C60CAB" w:rsidRPr="00D378C6" w:rsidRDefault="00195D43" w:rsidP="009E5947">
            <w:pPr>
              <w:spacing w:after="6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Datos de la </w:t>
            </w:r>
            <w:r w:rsidR="00997EEE"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Comisión Académica del Programa de Doctorado:</w:t>
            </w:r>
          </w:p>
        </w:tc>
      </w:tr>
      <w:tr w:rsidR="00150ED6" w:rsidRPr="00D11193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ED6" w:rsidRPr="00D378C6" w:rsidRDefault="009E5947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  <w:r w:rsidR="00997EEE" w:rsidRPr="00D378C6">
              <w:rPr>
                <w:rFonts w:ascii="Arial" w:hAnsi="Arial" w:cs="Arial"/>
                <w:b/>
                <w:sz w:val="20"/>
                <w:szCs w:val="20"/>
              </w:rPr>
              <w:t>/a:</w:t>
            </w:r>
          </w:p>
        </w:tc>
      </w:tr>
      <w:tr w:rsidR="00150ED6" w:rsidRPr="00D11193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CAB" w:rsidRPr="00D378C6" w:rsidRDefault="00C60CAB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0ED6" w:rsidRPr="00D11193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ED6" w:rsidRPr="00D378C6" w:rsidRDefault="00997EEE" w:rsidP="00997EEE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>Miembros:</w:t>
            </w:r>
          </w:p>
        </w:tc>
      </w:tr>
      <w:tr w:rsidR="00150ED6" w:rsidRPr="00D11193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E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F7B57" w:rsidRPr="00D378C6" w:rsidRDefault="00AF7B57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97EEE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5D43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Informe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195D43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5D43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consecuencia, por lo anteriormente indicado, la r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esolución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la 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es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195D43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43" w:rsidRPr="00D378C6" w:rsidRDefault="00BC13B0" w:rsidP="006461DE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38493461"/>
              </w:sdtPr>
              <w:sdtEndPr/>
              <w:sdtContent>
                <w:r w:rsidR="00195D43" w:rsidRPr="00D378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195D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="00195D43">
              <w:rPr>
                <w:rFonts w:ascii="Arial" w:eastAsia="Calibri" w:hAnsi="Arial" w:cs="Arial"/>
                <w:sz w:val="20"/>
                <w:szCs w:val="20"/>
              </w:rPr>
              <w:t>FAVORABLE</w:t>
            </w:r>
          </w:p>
          <w:p w:rsidR="00195D43" w:rsidRPr="00D378C6" w:rsidRDefault="00BC13B0" w:rsidP="006461DE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57744768"/>
              </w:sdtPr>
              <w:sdtEndPr/>
              <w:sdtContent>
                <w:r w:rsidR="00195D43" w:rsidRPr="00D378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195D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="00195D43">
              <w:rPr>
                <w:rFonts w:ascii="Arial" w:eastAsia="Calibri" w:hAnsi="Arial" w:cs="Arial"/>
                <w:sz w:val="20"/>
                <w:szCs w:val="20"/>
              </w:rPr>
              <w:t>DESFAVORABLE</w:t>
            </w:r>
          </w:p>
        </w:tc>
      </w:tr>
      <w:tr w:rsidR="00150ED6" w:rsidRPr="00D11193" w:rsidTr="00997EEE"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7B57" w:rsidRPr="00D378C6" w:rsidRDefault="00AF7B57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997EEE" w:rsidRPr="00D378C6" w:rsidRDefault="00EE3C3D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________________</w:t>
            </w:r>
            <w:r w:rsidR="00195D4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="00997EEE" w:rsidRPr="00D378C6">
              <w:rPr>
                <w:rFonts w:ascii="Arial" w:eastAsia="Calibri" w:hAnsi="Arial" w:cs="Arial"/>
                <w:bCs/>
                <w:sz w:val="20"/>
                <w:szCs w:val="20"/>
              </w:rPr>
              <w:t>(fecha) _________________________</w:t>
            </w:r>
            <w:r w:rsidR="006025EC" w:rsidRPr="00D378C6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:rsidR="00D1553B" w:rsidRPr="00D378C6" w:rsidRDefault="00D1553B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C60CAB" w:rsidRPr="00D378C6" w:rsidRDefault="00997EEE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Fdo.</w:t>
            </w:r>
            <w:r w:rsidR="001F7D15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  <w:r w:rsidR="006025EC" w:rsidRPr="00D378C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______________________________</w:t>
            </w:r>
          </w:p>
        </w:tc>
      </w:tr>
      <w:tr w:rsidR="00997EEE" w:rsidRPr="00D11193" w:rsidTr="00997EE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EEE" w:rsidRPr="00D378C6" w:rsidRDefault="006025EC" w:rsidP="00D11193">
            <w:pPr>
              <w:pStyle w:val="Piedepgina"/>
              <w:tabs>
                <w:tab w:val="clear" w:pos="8504"/>
              </w:tabs>
              <w:spacing w:before="24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El/La Presidente/a de la Comisión Académica</w:t>
            </w:r>
          </w:p>
        </w:tc>
      </w:tr>
    </w:tbl>
    <w:p w:rsidR="00D378C6" w:rsidRDefault="00D378C6">
      <w:r>
        <w:br w:type="page"/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95339" w:rsidRPr="00D11193" w:rsidTr="00997EE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D1A" w:rsidRPr="006F75CA" w:rsidRDefault="00F92D1A" w:rsidP="00D378C6">
            <w:pPr>
              <w:pStyle w:val="Textoindependiente"/>
              <w:spacing w:before="120"/>
              <w:ind w:right="6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lastRenderedPageBreak/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INTERNACIONAL DE ANDALUCÍA como responsable del tratamiento, siendo órgano competente en la materia </w:t>
            </w:r>
            <w:r w:rsidRPr="006F75CA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la Dirección del Área de Gestión Académica 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(Monasterio Santa María de las Cuevas, C/ Américo Vespucio nº2. Isla de La Cartuja -41092- Sevilla) ante quien Ud. puede ejercitar sus </w:t>
            </w:r>
            <w:r w:rsidRPr="006F75CA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derechos de acceso, rectificación, limitación, oposición o portabilidad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señalando concretamente la causa de su solicitud y acompañando copia de su documento acreditativo de identidad. La solicitud podrá hacerse mediante escrito en formato papel o por medios electrónicos.</w:t>
            </w:r>
          </w:p>
          <w:p w:rsidR="0001783A" w:rsidRPr="006F75CA" w:rsidRDefault="00F92D1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Caso de no obtener contestación o ver desestimada su solicitud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,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puede dirigirse al Delegado de Protección de Datos de la Universidad (</w:t>
            </w:r>
            <w:hyperlink r:id="rId8" w:history="1">
              <w:r w:rsidRPr="006F75CA">
                <w:rPr>
                  <w:rStyle w:val="Hipervnculo"/>
                  <w:rFonts w:asciiTheme="minorHAnsi" w:hAnsiTheme="minorHAnsi" w:cstheme="minorHAnsi"/>
                  <w:sz w:val="12"/>
                  <w:szCs w:val="12"/>
                </w:rPr>
                <w:t>rgpd@unia.es</w:t>
              </w:r>
            </w:hyperlink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; Tfno. 954462299) o en reclamación a la Agencia Española de Protección de Datos a través de los formularios que esa entidad tiene habilitados al efecto y que son accesibles desde su página web: </w:t>
            </w:r>
            <w:hyperlink r:id="rId9" w:history="1">
              <w:r w:rsidRPr="006F75CA">
                <w:rPr>
                  <w:rStyle w:val="Hipervnculo"/>
                  <w:rFonts w:asciiTheme="minorHAnsi" w:hAnsiTheme="minorHAnsi" w:cstheme="minorHAnsi"/>
                  <w:sz w:val="12"/>
                  <w:szCs w:val="12"/>
                </w:rPr>
                <w:t>https://sedeagpd.gob.es</w:t>
              </w:r>
            </w:hyperlink>
            <w:r w:rsidR="0001783A" w:rsidRPr="006F75CA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  <w:p w:rsidR="00F92D1A" w:rsidRPr="006F75CA" w:rsidRDefault="0001783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C</w:t>
            </w:r>
            <w:r w:rsidR="00F92D1A"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omo responsable, la Universidad le informa que exclusivamente tratará los datos personales que Ud. le facilite para dar cumplimiento a los siguientes </w:t>
            </w:r>
            <w:r w:rsidR="00F92D1A" w:rsidRPr="006F75CA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fines</w:t>
            </w:r>
            <w:r w:rsidR="00F92D1A" w:rsidRPr="006F75CA">
              <w:rPr>
                <w:rFonts w:asciiTheme="minorHAnsi" w:hAnsiTheme="minorHAnsi" w:cstheme="minorHAnsi"/>
                <w:sz w:val="12"/>
                <w:szCs w:val="12"/>
              </w:rPr>
              <w:t>:</w:t>
            </w:r>
          </w:p>
          <w:p w:rsidR="00F92D1A" w:rsidRPr="006F75CA" w:rsidRDefault="00F92D1A" w:rsidP="0001783A">
            <w:pPr>
              <w:pStyle w:val="Textoindependiente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Gestión académica y administrativa de:</w:t>
            </w:r>
          </w:p>
          <w:p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Inscripción y/o matrícula como 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estudiante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en cualquiera de las titulaciones oficiales (Grado, Máster y Doctorado), Formación Continua u otras actividades académicas ofrecidas por la Universidad Internacional de Andalucía.</w:t>
            </w:r>
          </w:p>
          <w:p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Participación en convocatorias de becas y ayudas al estudio de la Universidad Internacional de Andalucía, la Adm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inistraci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ón General </w:t>
            </w:r>
            <w:r w:rsidRPr="006F75CA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del 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Estado o la de las Comunidades Autónomas y de otras entidades públicas o privadas.</w:t>
            </w:r>
          </w:p>
          <w:p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Participación en convocatorias de programas de movilidad de carácter nacional o internacional.</w:t>
            </w:r>
          </w:p>
          <w:p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Obtención y expedición de títulos oficiales, títulos propios y otros títulos académicos</w:t>
            </w:r>
          </w:p>
          <w:p w:rsidR="00F92D1A" w:rsidRPr="006F75CA" w:rsidRDefault="00F92D1A" w:rsidP="0001783A">
            <w:pPr>
              <w:pStyle w:val="Prrafodelista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Gestión de su participación como estudiante en prácticas y actividades formativas nacionales o internacionales en instituciones, empresas, organismos o en otros centros.</w:t>
            </w:r>
          </w:p>
          <w:p w:rsidR="00F92D1A" w:rsidRPr="006F75CA" w:rsidRDefault="00F92D1A" w:rsidP="0001783A">
            <w:pPr>
              <w:pStyle w:val="Prrafodelista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Utilización de servicios universitarios como obtención del carné universitario, bibliotecas, actividades deportivas u otros.</w:t>
            </w:r>
          </w:p>
          <w:p w:rsidR="00F92D1A" w:rsidRPr="006F75CA" w:rsidRDefault="00F92D1A" w:rsidP="0001783A">
            <w:pPr>
              <w:spacing w:before="60" w:after="0" w:line="240" w:lineRule="auto"/>
              <w:ind w:right="61"/>
              <w:jc w:val="both"/>
              <w:rPr>
                <w:rFonts w:cstheme="minorHAnsi"/>
                <w:sz w:val="12"/>
                <w:szCs w:val="12"/>
              </w:rPr>
            </w:pPr>
            <w:r w:rsidRPr="006F75CA">
              <w:rPr>
                <w:rFonts w:cstheme="minorHAnsi"/>
                <w:sz w:val="12"/>
                <w:szCs w:val="12"/>
              </w:rPr>
              <w:t>La Universidad se encuentra legitimada para tratar estos datos al ser necesarios para la ejecución de la relación jurídica establecida entre Ud. y la Universidad y para que ésta pueda cumplir con sus obligaciones legales establecidas en la Ley Orgánica 6/2001, de Universidades.</w:t>
            </w:r>
          </w:p>
          <w:p w:rsidR="00F92D1A" w:rsidRPr="006F75CA" w:rsidRDefault="00F92D1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Usted responde de la veracidad de los datos personales que ha proporcionado a la Universidad y de su</w:t>
            </w:r>
            <w:bookmarkStart w:id="0" w:name="_GoBack"/>
            <w:bookmarkEnd w:id="0"/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actualización.</w:t>
            </w:r>
          </w:p>
          <w:p w:rsidR="00F92D1A" w:rsidRPr="006F75CA" w:rsidRDefault="00F92D1A" w:rsidP="0001783A">
            <w:pPr>
              <w:spacing w:before="60" w:after="0" w:line="240" w:lineRule="auto"/>
              <w:ind w:right="61"/>
              <w:jc w:val="both"/>
              <w:rPr>
                <w:rFonts w:cstheme="minorHAnsi"/>
                <w:sz w:val="12"/>
                <w:szCs w:val="12"/>
              </w:rPr>
            </w:pPr>
            <w:r w:rsidRPr="006F75CA">
              <w:rPr>
                <w:rFonts w:cstheme="minorHAnsi"/>
                <w:sz w:val="12"/>
                <w:szCs w:val="12"/>
              </w:rPr>
              <w:t>La Universidad comunicará los datos personales que sean indispensables, y nunca en otro caso, a las siguientes categorías de destinatarios:</w:t>
            </w:r>
          </w:p>
          <w:p w:rsidR="0001783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A otras 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a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dministraciones y organismos públicos para el ejercicio de las competencias que les sean propias y compatibles con las finalidades arriba enunciadas (Así -a modo enunciativo y no limitativo- a 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m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inisterios con competencias en educación y ciencia, a otras administraciones, a otras </w:t>
            </w:r>
            <w:r w:rsidR="0098772C" w:rsidRPr="006F75CA">
              <w:rPr>
                <w:rFonts w:asciiTheme="minorHAnsi" w:hAnsiTheme="minorHAnsi" w:cstheme="minorHAnsi"/>
                <w:sz w:val="12"/>
                <w:szCs w:val="12"/>
              </w:rPr>
              <w:t>u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niversidades o </w:t>
            </w:r>
            <w:r w:rsidR="0098772C" w:rsidRPr="006F75CA">
              <w:rPr>
                <w:rFonts w:asciiTheme="minorHAnsi" w:hAnsiTheme="minorHAnsi" w:cstheme="minorHAnsi"/>
                <w:sz w:val="12"/>
                <w:szCs w:val="12"/>
              </w:rPr>
              <w:t>c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entros formativos equivalentes para la gestión de traslados, a empresas para la realización de prácticas)</w:t>
            </w:r>
          </w:p>
          <w:p w:rsidR="0001783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A entidades bancarias para la gestión de pagos y cobros.</w:t>
            </w:r>
          </w:p>
          <w:p w:rsidR="0001783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A organismos públicos o privados en virtud de la celebración de convenios de colaboración o contratos, conforme a lo dispuesto en la legislación vigente en materia de Protección de Datos.</w:t>
            </w:r>
          </w:p>
          <w:p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A los servicios de la propia Universidad que sean adecuados para gestionar la utilización de los servicios universitarios ofertados.</w:t>
            </w:r>
          </w:p>
          <w:p w:rsidR="00F92D1A" w:rsidRPr="006F75CA" w:rsidRDefault="00F92D1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:rsidR="00F92D1A" w:rsidRPr="006F75CA" w:rsidRDefault="00F92D1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La Universidad sólo prevé la transferencia de datos a terceros países en el caso de su participación como 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estudiante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:rsidR="00D418DC" w:rsidRPr="00D11193" w:rsidRDefault="00F92D1A" w:rsidP="0001783A">
            <w:pPr>
              <w:spacing w:before="60" w:after="0" w:line="240" w:lineRule="auto"/>
              <w:ind w:right="61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6F75CA">
              <w:rPr>
                <w:rFonts w:cstheme="minorHAnsi"/>
                <w:sz w:val="12"/>
                <w:szCs w:val="12"/>
              </w:rPr>
              <w:t xml:space="preserve">El Servicio de Protección de Datos de la Universidad Internacional de Andalucía cuenta con una página en la que incluye legislación, información y modelos en relación con la Protección de Datos Personales a la que puede acceder desde el siguiente enlace: </w:t>
            </w:r>
            <w:hyperlink r:id="rId10" w:history="1">
              <w:r w:rsidRPr="006F75CA">
                <w:rPr>
                  <w:rStyle w:val="Hipervnculo"/>
                  <w:rFonts w:cstheme="minorHAnsi"/>
                  <w:sz w:val="12"/>
                  <w:szCs w:val="12"/>
                </w:rPr>
                <w:t>https://www.unia.es/protecciondatos</w:t>
              </w:r>
            </w:hyperlink>
            <w:r w:rsidR="0001783A" w:rsidRPr="006F75CA">
              <w:rPr>
                <w:rFonts w:cstheme="minorHAnsi"/>
                <w:sz w:val="12"/>
                <w:szCs w:val="12"/>
              </w:rPr>
              <w:t>.</w:t>
            </w:r>
          </w:p>
        </w:tc>
      </w:tr>
    </w:tbl>
    <w:p w:rsidR="006F036E" w:rsidRPr="0001783A" w:rsidRDefault="00BC13B0" w:rsidP="006025EC">
      <w:pPr>
        <w:rPr>
          <w:rFonts w:cstheme="minorHAnsi"/>
          <w:sz w:val="18"/>
          <w:szCs w:val="18"/>
        </w:rPr>
      </w:pPr>
    </w:p>
    <w:sectPr w:rsidR="006F036E" w:rsidRPr="0001783A" w:rsidSect="00997EEE">
      <w:headerReference w:type="default" r:id="rId11"/>
      <w:footerReference w:type="default" r:id="rId12"/>
      <w:type w:val="continuous"/>
      <w:pgSz w:w="11906" w:h="16838" w:code="9"/>
      <w:pgMar w:top="567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B0" w:rsidRDefault="00BC13B0" w:rsidP="00EC38DE">
      <w:pPr>
        <w:spacing w:after="0" w:line="240" w:lineRule="auto"/>
      </w:pPr>
      <w:r>
        <w:separator/>
      </w:r>
    </w:p>
  </w:endnote>
  <w:endnote w:type="continuationSeparator" w:id="0">
    <w:p w:rsidR="00BC13B0" w:rsidRDefault="00BC13B0" w:rsidP="00E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astasi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304905443"/>
      <w:docPartObj>
        <w:docPartGallery w:val="Page Numbers (Bottom of Page)"/>
        <w:docPartUnique/>
      </w:docPartObj>
    </w:sdtPr>
    <w:sdtEndPr/>
    <w:sdtContent>
      <w:p w:rsidR="00EC38DE" w:rsidRPr="003067D7" w:rsidRDefault="004C741A" w:rsidP="00195D43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3067D7">
          <w:rPr>
            <w:rFonts w:ascii="Arial" w:hAnsi="Arial" w:cs="Arial"/>
            <w:sz w:val="20"/>
            <w:szCs w:val="20"/>
          </w:rPr>
          <w:fldChar w:fldCharType="begin"/>
        </w:r>
        <w:r w:rsidR="00C60CAB" w:rsidRPr="003067D7">
          <w:rPr>
            <w:rFonts w:ascii="Arial" w:hAnsi="Arial" w:cs="Arial"/>
            <w:sz w:val="20"/>
            <w:szCs w:val="20"/>
          </w:rPr>
          <w:instrText>PAGE   \* MERGEFORMAT</w:instrText>
        </w:r>
        <w:r w:rsidRPr="003067D7">
          <w:rPr>
            <w:rFonts w:ascii="Arial" w:hAnsi="Arial" w:cs="Arial"/>
            <w:sz w:val="20"/>
            <w:szCs w:val="20"/>
          </w:rPr>
          <w:fldChar w:fldCharType="separate"/>
        </w:r>
        <w:r w:rsidR="006F75CA">
          <w:rPr>
            <w:rFonts w:ascii="Arial" w:hAnsi="Arial" w:cs="Arial"/>
            <w:noProof/>
            <w:sz w:val="20"/>
            <w:szCs w:val="20"/>
          </w:rPr>
          <w:t>1</w:t>
        </w:r>
        <w:r w:rsidRPr="003067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B0" w:rsidRDefault="00BC13B0" w:rsidP="00EC38DE">
      <w:pPr>
        <w:spacing w:after="0" w:line="240" w:lineRule="auto"/>
      </w:pPr>
      <w:r>
        <w:separator/>
      </w:r>
    </w:p>
  </w:footnote>
  <w:footnote w:type="continuationSeparator" w:id="0">
    <w:p w:rsidR="00BC13B0" w:rsidRDefault="00BC13B0" w:rsidP="00EC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27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0"/>
      <w:gridCol w:w="7087"/>
    </w:tblGrid>
    <w:tr w:rsidR="00EC38DE" w:rsidTr="009E5947">
      <w:tc>
        <w:tcPr>
          <w:tcW w:w="2240" w:type="dxa"/>
          <w:vAlign w:val="center"/>
        </w:tcPr>
        <w:p w:rsidR="00EC38DE" w:rsidRDefault="003C3079">
          <w:pPr>
            <w:pStyle w:val="Encabezado"/>
          </w:pPr>
          <w:r w:rsidRPr="00306D1B">
            <w:rPr>
              <w:noProof/>
              <w:lang w:eastAsia="es-ES"/>
            </w:rPr>
            <w:drawing>
              <wp:inline distT="0" distB="0" distL="0" distR="0">
                <wp:extent cx="935182" cy="9180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Desktop\logo-verde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182" cy="91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EC38DE" w:rsidRPr="00D11193" w:rsidRDefault="00997EEE" w:rsidP="00996A8D">
          <w:pPr>
            <w:autoSpaceDE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11193">
            <w:rPr>
              <w:rFonts w:ascii="Arial" w:hAnsi="Arial" w:cs="Arial"/>
              <w:b/>
              <w:bCs/>
              <w:sz w:val="24"/>
              <w:szCs w:val="24"/>
              <w:lang w:eastAsia="es-ES"/>
            </w:rPr>
            <w:t>E</w:t>
          </w:r>
          <w:r w:rsidR="006025EC" w:rsidRPr="00D11193">
            <w:rPr>
              <w:rFonts w:ascii="Arial" w:hAnsi="Arial" w:cs="Arial"/>
              <w:b/>
              <w:bCs/>
              <w:sz w:val="24"/>
              <w:szCs w:val="24"/>
              <w:lang w:eastAsia="es-ES"/>
            </w:rPr>
            <w:t>VALUACIÓN ANUAL DEL PLAN DE INVESTIGACIÓN Y DEL DOCUMENTO DE ACTIVIDADES DEL DOCTORANDO</w:t>
          </w:r>
          <w:r w:rsidR="00A93044">
            <w:rPr>
              <w:rFonts w:ascii="Arial" w:hAnsi="Arial" w:cs="Arial"/>
              <w:b/>
              <w:bCs/>
              <w:sz w:val="24"/>
              <w:szCs w:val="24"/>
              <w:lang w:eastAsia="es-ES"/>
            </w:rPr>
            <w:t xml:space="preserve"> POR LA COMISIÓN ACADÉMICA</w:t>
          </w:r>
        </w:p>
      </w:tc>
    </w:tr>
  </w:tbl>
  <w:p w:rsidR="00EC38DE" w:rsidRDefault="00EC38DE" w:rsidP="00996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6" w15:restartNumberingAfterBreak="0">
    <w:nsid w:val="07B567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7" w15:restartNumberingAfterBreak="0">
    <w:nsid w:val="0B4B7756"/>
    <w:multiLevelType w:val="hybridMultilevel"/>
    <w:tmpl w:val="8CE8409C"/>
    <w:lvl w:ilvl="0" w:tplc="0C428D32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1F4851A9"/>
    <w:multiLevelType w:val="hybridMultilevel"/>
    <w:tmpl w:val="4B9042F0"/>
    <w:lvl w:ilvl="0" w:tplc="7B74B7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10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246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</w:abstractNum>
  <w:abstractNum w:abstractNumId="11" w15:restartNumberingAfterBreak="0">
    <w:nsid w:val="747B6E50"/>
    <w:multiLevelType w:val="hybridMultilevel"/>
    <w:tmpl w:val="9FDE7866"/>
    <w:lvl w:ilvl="0" w:tplc="0C0A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F45A4"/>
    <w:multiLevelType w:val="hybridMultilevel"/>
    <w:tmpl w:val="3BC433FC"/>
    <w:lvl w:ilvl="0" w:tplc="D6B0B7FC">
      <w:start w:val="1"/>
      <w:numFmt w:val="lowerRoman"/>
      <w:lvlText w:val="%1."/>
      <w:lvlJc w:val="left"/>
      <w:pPr>
        <w:ind w:left="720" w:hanging="360"/>
      </w:pPr>
      <w:rPr>
        <w:rFonts w:ascii="Tahoma" w:eastAsia="Calibri" w:hAnsi="Tahoma" w:cs="Tahom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5EC"/>
    <w:rsid w:val="000071F5"/>
    <w:rsid w:val="0001783A"/>
    <w:rsid w:val="00026607"/>
    <w:rsid w:val="000C2CC2"/>
    <w:rsid w:val="00106576"/>
    <w:rsid w:val="00150ED6"/>
    <w:rsid w:val="00164230"/>
    <w:rsid w:val="00195D43"/>
    <w:rsid w:val="001B7542"/>
    <w:rsid w:val="001F7D15"/>
    <w:rsid w:val="002163E4"/>
    <w:rsid w:val="002A5F77"/>
    <w:rsid w:val="002C14DF"/>
    <w:rsid w:val="003025EC"/>
    <w:rsid w:val="003067D7"/>
    <w:rsid w:val="00395339"/>
    <w:rsid w:val="003C3079"/>
    <w:rsid w:val="004107CF"/>
    <w:rsid w:val="0046291E"/>
    <w:rsid w:val="00493DC9"/>
    <w:rsid w:val="004C741A"/>
    <w:rsid w:val="005660D3"/>
    <w:rsid w:val="005B13AA"/>
    <w:rsid w:val="005C776F"/>
    <w:rsid w:val="005D3CEC"/>
    <w:rsid w:val="006025EC"/>
    <w:rsid w:val="00695B17"/>
    <w:rsid w:val="006F75CA"/>
    <w:rsid w:val="00745C2C"/>
    <w:rsid w:val="007737D9"/>
    <w:rsid w:val="0084299A"/>
    <w:rsid w:val="008449C3"/>
    <w:rsid w:val="008905CB"/>
    <w:rsid w:val="009004BE"/>
    <w:rsid w:val="0093353A"/>
    <w:rsid w:val="0098772C"/>
    <w:rsid w:val="00996A8D"/>
    <w:rsid w:val="00997EEE"/>
    <w:rsid w:val="009B0184"/>
    <w:rsid w:val="009E5947"/>
    <w:rsid w:val="00A93044"/>
    <w:rsid w:val="00AD40EA"/>
    <w:rsid w:val="00AF7B57"/>
    <w:rsid w:val="00B45D38"/>
    <w:rsid w:val="00B714E4"/>
    <w:rsid w:val="00BC13B0"/>
    <w:rsid w:val="00BE3B06"/>
    <w:rsid w:val="00C60CAB"/>
    <w:rsid w:val="00CB44A5"/>
    <w:rsid w:val="00D06EAE"/>
    <w:rsid w:val="00D11193"/>
    <w:rsid w:val="00D1553B"/>
    <w:rsid w:val="00D20D7F"/>
    <w:rsid w:val="00D378C6"/>
    <w:rsid w:val="00D418DC"/>
    <w:rsid w:val="00DB6584"/>
    <w:rsid w:val="00DD66ED"/>
    <w:rsid w:val="00E80BCE"/>
    <w:rsid w:val="00EC38DE"/>
    <w:rsid w:val="00EE3C3D"/>
    <w:rsid w:val="00F13DBD"/>
    <w:rsid w:val="00F53894"/>
    <w:rsid w:val="00F92897"/>
    <w:rsid w:val="00F9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470CE2-9C77-49D6-A8A6-C7ECE86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25EC"/>
    <w:pPr>
      <w:suppressAutoHyphens/>
      <w:autoSpaceDE w:val="0"/>
      <w:spacing w:after="0" w:line="240" w:lineRule="auto"/>
    </w:pPr>
    <w:rPr>
      <w:rFonts w:ascii="Anastasia" w:eastAsia="Times New Roman" w:hAnsi="Anastasia" w:cs="Anastasia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EC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8DE"/>
  </w:style>
  <w:style w:type="paragraph" w:styleId="Piedepgina">
    <w:name w:val="footer"/>
    <w:basedOn w:val="Normal"/>
    <w:link w:val="PiedepginaCar"/>
    <w:unhideWhenUsed/>
    <w:rsid w:val="00EC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8DE"/>
  </w:style>
  <w:style w:type="table" w:styleId="Tablaconcuadrcula">
    <w:name w:val="Table Grid"/>
    <w:basedOn w:val="Tablanormal"/>
    <w:uiPriority w:val="39"/>
    <w:rsid w:val="00EC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54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39533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5339"/>
    <w:rPr>
      <w:rFonts w:ascii="Arial Narrow" w:eastAsia="Arial Narrow" w:hAnsi="Arial Narrow" w:cs="Arial Narrow"/>
      <w:sz w:val="16"/>
      <w:szCs w:val="16"/>
      <w:lang w:eastAsia="es-ES" w:bidi="es-ES"/>
    </w:rPr>
  </w:style>
  <w:style w:type="paragraph" w:styleId="Prrafodelista">
    <w:name w:val="List Paragraph"/>
    <w:basedOn w:val="Normal"/>
    <w:uiPriority w:val="1"/>
    <w:qFormat/>
    <w:rsid w:val="00395339"/>
    <w:pPr>
      <w:widowControl w:val="0"/>
      <w:autoSpaceDE w:val="0"/>
      <w:autoSpaceDN w:val="0"/>
      <w:spacing w:after="0" w:line="240" w:lineRule="auto"/>
      <w:ind w:left="114"/>
    </w:pPr>
    <w:rPr>
      <w:rFonts w:ascii="Arial Narrow" w:eastAsia="Arial Narrow" w:hAnsi="Arial Narrow" w:cs="Arial Narrow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395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uni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a.es/proteccionda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agpd.gob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7B4E-4113-4F29-8290-1EC2534D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A.DeArriba</dc:creator>
  <cp:keywords/>
  <dc:description/>
  <cp:lastModifiedBy>A.DeArriba</cp:lastModifiedBy>
  <cp:revision>10</cp:revision>
  <cp:lastPrinted>2019-04-23T09:04:00Z</cp:lastPrinted>
  <dcterms:created xsi:type="dcterms:W3CDTF">2019-04-27T09:49:00Z</dcterms:created>
  <dcterms:modified xsi:type="dcterms:W3CDTF">2019-04-29T11:53:00Z</dcterms:modified>
</cp:coreProperties>
</file>